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97" w:rsidRDefault="00FA2697" w:rsidP="00FA2697">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FA2697" w:rsidRDefault="00FA2697" w:rsidP="00FA2697">
      <w:pPr>
        <w:spacing w:after="0" w:line="240" w:lineRule="auto"/>
        <w:jc w:val="right"/>
        <w:rPr>
          <w:rFonts w:ascii="Nikosh" w:hAnsi="Nikosh" w:cs="Nikosh"/>
          <w:b/>
          <w:sz w:val="24"/>
          <w:u w:val="single"/>
        </w:rPr>
      </w:pPr>
      <w:r>
        <w:rPr>
          <w:rFonts w:ascii="Nikosh" w:hAnsi="Nikosh" w:cs="Nikosh"/>
          <w:b/>
          <w:sz w:val="24"/>
          <w:u w:val="single"/>
        </w:rPr>
        <w:t>ও মুজিববর্ষের ক্ষণগণনা উপলক্ষে বিশেষ ফিচার</w:t>
      </w:r>
    </w:p>
    <w:p w:rsidR="00FA2697" w:rsidRDefault="00FA2697" w:rsidP="00FA2697">
      <w:pPr>
        <w:shd w:val="clear" w:color="auto" w:fill="FFFFFF"/>
        <w:spacing w:after="0" w:line="240" w:lineRule="auto"/>
        <w:jc w:val="center"/>
        <w:rPr>
          <w:rFonts w:ascii="Times New Roman" w:eastAsia="Times New Roman" w:hAnsi="Times New Roman" w:cs="Times New Roman"/>
          <w:b/>
          <w:bCs/>
          <w:color w:val="222222"/>
          <w:sz w:val="28"/>
          <w:lang w:bidi="bn-IN"/>
        </w:rPr>
      </w:pPr>
      <w:r>
        <w:rPr>
          <w:rFonts w:ascii="Times New Roman" w:eastAsia="Times New Roman" w:hAnsi="Times New Roman" w:cs="Times New Roman"/>
          <w:b/>
          <w:bCs/>
          <w:color w:val="222222"/>
          <w:sz w:val="28"/>
          <w:lang w:bidi="bn-IN"/>
        </w:rPr>
        <w:t xml:space="preserve"> </w:t>
      </w:r>
    </w:p>
    <w:p w:rsidR="00FA2697" w:rsidRDefault="00FA2697" w:rsidP="00FA2697">
      <w:pPr>
        <w:shd w:val="clear" w:color="auto" w:fill="FFFFFF"/>
        <w:spacing w:after="0" w:line="240" w:lineRule="auto"/>
        <w:jc w:val="center"/>
        <w:rPr>
          <w:rFonts w:ascii="Times New Roman" w:eastAsia="Times New Roman" w:hAnsi="Times New Roman" w:cs="Times New Roman"/>
          <w:b/>
          <w:bCs/>
          <w:color w:val="222222"/>
          <w:sz w:val="28"/>
          <w:lang w:bidi="bn-IN"/>
        </w:rPr>
      </w:pPr>
      <w:r>
        <w:rPr>
          <w:rFonts w:ascii="Times New Roman" w:eastAsia="Times New Roman" w:hAnsi="Times New Roman" w:cs="Times New Roman"/>
          <w:b/>
          <w:bCs/>
          <w:color w:val="222222"/>
          <w:sz w:val="28"/>
          <w:lang w:bidi="bn-IN"/>
        </w:rPr>
        <w:t xml:space="preserve">RECALLING BANGABANDHU ON HIS </w:t>
      </w:r>
    </w:p>
    <w:p w:rsidR="00FA2697" w:rsidRDefault="00FA2697" w:rsidP="00FA2697">
      <w:pPr>
        <w:shd w:val="clear" w:color="auto" w:fill="FFFFFF"/>
        <w:spacing w:after="0" w:line="240" w:lineRule="auto"/>
        <w:jc w:val="center"/>
        <w:rPr>
          <w:rFonts w:ascii="Arial" w:eastAsia="Times New Roman" w:hAnsi="Arial" w:cs="Arial"/>
          <w:color w:val="222222"/>
          <w:sz w:val="32"/>
          <w:lang w:bidi="bn-IN"/>
        </w:rPr>
      </w:pPr>
      <w:r>
        <w:rPr>
          <w:rFonts w:ascii="Times New Roman" w:eastAsia="Times New Roman" w:hAnsi="Times New Roman" w:cs="Times New Roman"/>
          <w:b/>
          <w:bCs/>
          <w:color w:val="222222"/>
          <w:sz w:val="28"/>
          <w:lang w:bidi="bn-IN"/>
        </w:rPr>
        <w:t>CENTENNIAL BIRTH ANNIVERSARY</w:t>
      </w:r>
    </w:p>
    <w:p w:rsidR="00FA2697" w:rsidRDefault="00FA2697" w:rsidP="00FA2697">
      <w:pPr>
        <w:shd w:val="clear" w:color="auto" w:fill="FFFFFF"/>
        <w:spacing w:after="0" w:line="240" w:lineRule="auto"/>
        <w:jc w:val="center"/>
        <w:rPr>
          <w:rFonts w:ascii="Times New Roman" w:eastAsia="Times New Roman" w:hAnsi="Times New Roman"/>
          <w:bCs/>
          <w:color w:val="222222"/>
          <w:sz w:val="28"/>
          <w:szCs w:val="26"/>
          <w:lang w:bidi="bn-IN"/>
        </w:rPr>
      </w:pPr>
      <w:r>
        <w:rPr>
          <w:rFonts w:ascii="Times New Roman" w:eastAsia="Times New Roman" w:hAnsi="Times New Roman" w:cs="Times New Roman"/>
          <w:bCs/>
          <w:color w:val="222222"/>
          <w:sz w:val="28"/>
          <w:szCs w:val="26"/>
          <w:lang w:bidi="bn-IN"/>
        </w:rPr>
        <w:t>Muhammad Zamir</w:t>
      </w:r>
    </w:p>
    <w:p w:rsidR="00FA2697" w:rsidRDefault="00FA2697" w:rsidP="00FA2697">
      <w:pPr>
        <w:shd w:val="clear" w:color="auto" w:fill="FFFFFF"/>
        <w:spacing w:after="0" w:line="240" w:lineRule="auto"/>
        <w:ind w:left="4320" w:firstLine="720"/>
        <w:jc w:val="both"/>
        <w:rPr>
          <w:rFonts w:ascii="Arial" w:eastAsia="Times New Roman" w:hAnsi="Arial"/>
          <w:color w:val="222222"/>
          <w:sz w:val="26"/>
          <w:szCs w:val="26"/>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b/>
          <w:bCs/>
          <w:color w:val="222222"/>
          <w:sz w:val="24"/>
          <w:szCs w:val="24"/>
          <w:lang w:bidi="bn-IN"/>
        </w:rPr>
        <w:t> </w:t>
      </w:r>
      <w:r>
        <w:rPr>
          <w:rFonts w:ascii="Times New Roman" w:eastAsia="Times New Roman" w:hAnsi="Times New Roman" w:cs="Times New Roman"/>
          <w:color w:val="222222"/>
          <w:sz w:val="24"/>
          <w:szCs w:val="24"/>
          <w:lang w:bidi="bn-IN"/>
        </w:rPr>
        <w:t>Bangabandhu Sheikh Mujibur Rahman was released from his internment in Pakistan in the second week of January 1972 and eventually returned to Dhaka, the capital of independent Bangladesh amidst a rapturous welcome on 10</w:t>
      </w:r>
      <w:r>
        <w:rPr>
          <w:rFonts w:ascii="Times New Roman" w:eastAsia="Times New Roman" w:hAnsi="Times New Roman" w:cs="Times New Roman"/>
          <w:color w:val="222222"/>
          <w:sz w:val="24"/>
          <w:szCs w:val="24"/>
          <w:vertAlign w:val="superscript"/>
          <w:lang w:bidi="bn-IN"/>
        </w:rPr>
        <w:t>th</w:t>
      </w:r>
      <w:r>
        <w:rPr>
          <w:rFonts w:ascii="Times New Roman" w:eastAsia="Times New Roman" w:hAnsi="Times New Roman" w:cs="Times New Roman"/>
          <w:color w:val="222222"/>
          <w:sz w:val="24"/>
          <w:szCs w:val="24"/>
          <w:lang w:bidi="bn-IN"/>
        </w:rPr>
        <w:t> January, 1972. On the way he stopped over in London and New Delhi. The return of Father of the Nation completed our struggle for independence.</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I recall the historic role that he played as the master helmsman during 1972 and subsequently over the next three years. It was his commitment and his vision that enabled him to safely guide our ship through troubled waters amidst a devastated post war scenario. It was his significant contribution that facilitated our growth towards democracy and institution building.</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He believed in nationalism, democracy, secularism and socialism. He felt that they were required for the good of the common man. Bangabandhu was also a firm believer in the rich cultural and literary heritage of Bangladesh and for him that was the spring-board of the Bangalee ethos, its tradition and its nationalism. That instilled in him the pride of being a Bangalee living in Shonar Bangla.</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Dedicated and committed to the cause of Bangladesh, he encapsulated his vision for his new country at Palam Airport, New Delhi on 10 January, 1972. He described his journey to a free Bangladesh as ‘a journey from darkness to light, from captivity to freedom, from desolation to hope’. He also reiterated that he was going back to his independent country ‘not with hatred in my heart for anyone, but with the satisfaction that truth has at last triumphed over falsehood, sanity over insanity, courage over cowardice, justice over injustice and good over ill’.</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Bangabandhu’s magnanimity and belief in the people of Bangladesh was reflected in his optimism. It was also this spirit that would inspire him to face up to the many difficulties that he would have to overcome in the coming months- arranging relief and rehabilitation for the more than ten million Bangladeshis who had sought refuge in India during the war in 1971, restoring economic activity, infrastructural connectivity, agricultural process, educational institutional facilities and healthcare. It was a daunting task but handled efficiently by Bangabandhu and his team in cooperation with the United Nations. </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 after his return to Dhaka, openly thanked India for its past assistance and then requested that country to withdraw all its troops from Bangladesh. This was complied with immediately and belied claims by the then Pakistani leadership that Bangladesh was going to remain as an Indian colony.</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A statesman and gifted orator, Bangabandhu in his speech on 10</w:t>
      </w:r>
      <w:r>
        <w:rPr>
          <w:rFonts w:ascii="Times New Roman" w:eastAsia="Times New Roman" w:hAnsi="Times New Roman" w:cs="Times New Roman"/>
          <w:color w:val="222222"/>
          <w:sz w:val="24"/>
          <w:szCs w:val="24"/>
          <w:vertAlign w:val="superscript"/>
          <w:lang w:bidi="bn-IN"/>
        </w:rPr>
        <w:t>th</w:t>
      </w:r>
      <w:r>
        <w:rPr>
          <w:rFonts w:ascii="Times New Roman" w:eastAsia="Times New Roman" w:hAnsi="Times New Roman" w:cs="Times New Roman"/>
          <w:color w:val="222222"/>
          <w:sz w:val="24"/>
          <w:szCs w:val="24"/>
          <w:lang w:bidi="bn-IN"/>
        </w:rPr>
        <w:t> January, 1972 at Suhrawardy Uddyan was masterly in his advice for the victorious people of Bangladesh. At this first opportunity, he warned that none should ‘raise’ their ‘hands to strike against non-Bangalees’. At the same time, he displayed his concern for the safety of the ‘four hundred thousand Bangalees stranded in Pakistan’. There was a nuanced connotation in his approach to the problem. This eventually assisted in the safe repatriation to Bangladesh of the unfortunate Bangalees who were stranded in different internment camps in Pakistan.</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lastRenderedPageBreak/>
        <w:t>-2-</w:t>
      </w: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While re-affirming that he harbored no ‘ill-will’ for the Pakistanis, he also pointed out that ‘those who have unjustly killed our people and assisted in this crime will surely be tried’. Later, on 17 April, 1973, after the completion of investigations into the crimes committed by the Pakistan occupation forces and their auxiliaries, it was decided to try 195 persons for serious crimes, which included genocide, war crimes, breach of Article 3 of the Geneva Conventions, murder, rape and arson. It was also decided that the trials of such persons and others associated in planning and executing such crimes would be held in accordance with universally recognized judicial norms. This argument and the related judicial process were to be central till his murder in August 1975. Unfortunately, his death also resulted in the setting aside of the entire judicial process. Fortunately, under the leadership of Prime Minister Sheikh Hasina the trial process has been activated and is being completed. We owed it to the millions who lost family members and the tens of thousands of women who were molested.</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Subsequently, Bangabandhu did not hesitate to exhibit his and Bangladesh’s closeness and support for Islam, Arab countries and the OIC during the 1973 war between Egypt and Israel. His personal initiative resulted in the dispatch of a Bangladeshi Army Medical team and cartons of Bangladeshi tea for Egypt and Syria. This was greatly appreciated by members of the OIC and resulted in Bangladesh being invited to be a member of the OIC during its Summit meeting in Lahore, Pakistan in February, 1974.</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 believed strongly in the sovereign equality of all nations and laid particular stress on the promotion of close cooperation with India in the fields of development and trade “on the basis of equality and mutual benefit”. He also believed in development and utilization of resources ‘for the benefit of the people of the region’. It was this approach that led him eventually to persuade India to agree to the establishment of a Joint Rivers Commission on a permanent basis comprising of experts of Bangladesh and India ‘to carry out a comprehensive survey of the rivers systems shared by the two countries and to formulate projects concerning both the countries in the fields of flood control and then to implement them’. In the Joint Declaration of the Prime Ministers of Bangladesh and India on 19</w:t>
      </w:r>
      <w:r>
        <w:rPr>
          <w:rFonts w:ascii="Times New Roman" w:eastAsia="Times New Roman" w:hAnsi="Times New Roman" w:cs="Times New Roman"/>
          <w:color w:val="222222"/>
          <w:sz w:val="24"/>
          <w:szCs w:val="24"/>
          <w:vertAlign w:val="superscript"/>
          <w:lang w:bidi="bn-IN"/>
        </w:rPr>
        <w:t>th</w:t>
      </w:r>
      <w:r>
        <w:rPr>
          <w:rFonts w:ascii="Times New Roman" w:eastAsia="Times New Roman" w:hAnsi="Times New Roman" w:cs="Times New Roman"/>
          <w:color w:val="222222"/>
          <w:sz w:val="24"/>
          <w:szCs w:val="24"/>
          <w:lang w:bidi="bn-IN"/>
        </w:rPr>
        <w:t> March 1972 at Dhaka, there was also a reference to examining the feasibility of linking the power grids of Bangladesh with the adjoining areas of India. That is being achieved now. Today, 47 years later, under our current Prime Minister, we are evolving the necessary dynamics for a regional energy grid and regional water management for South Asia. Such a process is consistent with Bangabandhu’s vision of so many decades ago.</w:t>
      </w:r>
      <w:bookmarkStart w:id="0" w:name="_GoBack"/>
      <w:bookmarkEnd w:id="0"/>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Consistent with this principle of brotherly relations, Bangabandhu signed the historic “Land Boundary Agreement (LBA)” with the then Indian premier Indira Gandhi on May 16 in 1974 to settle the land boundary dispute between the neighbors. Bangladesh quickly ratified the agreement that year but India failed to do so. Indian Parliament however took 41 years to subsequently unanimously pass the LBA on May 7, 2015- thanks to the persuasion of Sheikh Hasina.</w:t>
      </w:r>
    </w:p>
    <w:p w:rsidR="00FA2697" w:rsidRDefault="00FA2697" w:rsidP="00FA2697">
      <w:pPr>
        <w:shd w:val="clear" w:color="auto" w:fill="FFFFFF"/>
        <w:spacing w:after="0" w:line="240" w:lineRule="auto"/>
        <w:ind w:firstLine="720"/>
        <w:jc w:val="both"/>
        <w:rPr>
          <w:rFonts w:ascii="Arial" w:eastAsia="Times New Roman" w:hAnsi="Arial" w:cs="Arial"/>
          <w:color w:val="222222"/>
          <w:sz w:val="12"/>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Similarly, Bangabandhu enacted “The Territorial Waters and Maritime Zones Act” to establish Bangladesh’s sovereign rights in the sea. The law was framed in 1974 when there was no such a law in most of the countries in the world. Nearly eight years after the enactment of “The Territorial Waters and Maritime Zones Act” by Bangabandhu, the United Nations (UN) framed “The UN Convention on the Law of Sea (UNCLOS)” in 1982.</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lastRenderedPageBreak/>
        <w:t>-3-</w:t>
      </w:r>
    </w:p>
    <w:p w:rsidR="00FA2697" w:rsidRDefault="00FA2697" w:rsidP="00FA2697">
      <w:pPr>
        <w:shd w:val="clear" w:color="auto" w:fill="FFFFFF"/>
        <w:spacing w:after="0" w:line="240" w:lineRule="auto"/>
        <w:ind w:firstLine="720"/>
        <w:jc w:val="center"/>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Bangabandhu’s persistent interest in foreign policy eventually led to Bangladesh being recognized as an independent state by nearly 120 countries within three and half years. In addition,</w:t>
      </w:r>
      <w:r>
        <w:rPr>
          <w:rFonts w:ascii="Arial" w:eastAsia="Times New Roman" w:hAnsi="Arial" w:cs="Arial"/>
          <w:color w:val="222222"/>
          <w:sz w:val="24"/>
          <w:szCs w:val="24"/>
          <w:lang w:bidi="bn-IN"/>
        </w:rPr>
        <w:t> </w:t>
      </w:r>
      <w:r>
        <w:rPr>
          <w:rFonts w:ascii="Times New Roman" w:eastAsia="Times New Roman" w:hAnsi="Times New Roman" w:cs="Times New Roman"/>
          <w:color w:val="222222"/>
          <w:sz w:val="24"/>
          <w:szCs w:val="24"/>
          <w:lang w:bidi="bn-IN"/>
        </w:rPr>
        <w:t>Bangladesh also secured the membership of the UN, the Commonwealth, the Organisation of Islamic Cooperation (OIC), the Non-Aligned Movement (NAM), the International Monetary Fund (IMF), the World Bank, the International Telecommunication Union (ITU), the World Health Organisation (WHO), the International Labour Organisation (ILO) and some other international bodies. We have been fortunate to witness this process of growth within the international paradigm over the last two decades.</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This has been recently reflected in Prime Minister Sheikh Hasina not only being acknowledged as a significant world leader but also being accorded the title of “Mother of Humanity”. Like Bangabandhu, who was conferred with the “Joliot Curie Award” in 1973, she has also received recognition through numerous awards bestowed on her by international agencies for her government’s socio-economic achievements that has helped to reduce poverty, create higher functional literacy, better health care, induce gender empowerment and facilitate accountability, so important for good governance, through the Right to Information Act. Her efforts through digitalization, mobile phone technology and use of renewable energy have also enabled Bangladesh to achieve a high growth rate and meet the required MDG targets. We are now also on the way towards meeting the requirements pertaining to SDG goals.</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Through these achievements, during this important year 2020, when we are observing the special centennial anniversary of the birth of Bangabandhu, Sheikh Hasina has proven that Bangabandhu was correct when he stated- : “Only a peaceful environment can enable us to enjoy the fruits of the hard-earned national independence and gather all our strength and resources to fight poverty, hunger, disease, illiteracy and unemployment.”</w:t>
      </w:r>
    </w:p>
    <w:p w:rsidR="00FA2697" w:rsidRDefault="00FA2697" w:rsidP="00FA2697">
      <w:pPr>
        <w:shd w:val="clear" w:color="auto" w:fill="FFFFFF"/>
        <w:spacing w:after="0" w:line="240" w:lineRule="auto"/>
        <w:ind w:firstLine="720"/>
        <w:jc w:val="both"/>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w:t>
      </w:r>
    </w:p>
    <w:p w:rsidR="00FA2697" w:rsidRDefault="00FA2697" w:rsidP="00FA2697">
      <w:pPr>
        <w:shd w:val="clear" w:color="auto" w:fill="FFFFFF"/>
        <w:spacing w:after="0" w:line="240" w:lineRule="auto"/>
        <w:ind w:firstLine="720"/>
        <w:jc w:val="center"/>
        <w:rPr>
          <w:rFonts w:ascii="Times New Roman" w:eastAsia="Times New Roman" w:hAnsi="Times New Roman" w:cs="Times New Roman"/>
          <w:color w:val="222222"/>
          <w:sz w:val="24"/>
          <w:szCs w:val="24"/>
          <w:lang w:bidi="bn-IN"/>
        </w:rPr>
      </w:pPr>
    </w:p>
    <w:p w:rsidR="00FA2697" w:rsidRDefault="00FA2697" w:rsidP="00FA2697">
      <w:pPr>
        <w:shd w:val="clear" w:color="auto" w:fill="FFFFFF"/>
        <w:spacing w:after="0" w:line="240" w:lineRule="auto"/>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32.12.2019</w:t>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r>
      <w:r>
        <w:rPr>
          <w:rFonts w:ascii="Times New Roman" w:eastAsia="Times New Roman" w:hAnsi="Times New Roman" w:cs="Times New Roman"/>
          <w:color w:val="222222"/>
          <w:sz w:val="24"/>
          <w:szCs w:val="24"/>
          <w:lang w:bidi="bn-IN"/>
        </w:rPr>
        <w:tab/>
        <w:t xml:space="preserve">                                                   PID Feature </w:t>
      </w:r>
    </w:p>
    <w:p w:rsidR="00FA2697" w:rsidRDefault="00FA2697" w:rsidP="00FA2697">
      <w:pPr>
        <w:shd w:val="clear" w:color="auto" w:fill="FFFFFF"/>
        <w:spacing w:after="0" w:line="240" w:lineRule="auto"/>
        <w:ind w:firstLine="720"/>
        <w:jc w:val="both"/>
        <w:rPr>
          <w:rFonts w:ascii="Arial" w:eastAsia="Times New Roman" w:hAnsi="Arial" w:cs="Arial"/>
          <w:color w:val="222222"/>
          <w:sz w:val="24"/>
          <w:szCs w:val="24"/>
          <w:lang w:bidi="bn-IN"/>
        </w:rPr>
      </w:pPr>
    </w:p>
    <w:p w:rsidR="00FA2697" w:rsidRDefault="00FA2697" w:rsidP="00FA2697">
      <w:pPr>
        <w:shd w:val="clear" w:color="auto" w:fill="FFFFFF"/>
        <w:spacing w:after="0" w:line="240" w:lineRule="auto"/>
        <w:ind w:firstLine="720"/>
        <w:jc w:val="both"/>
        <w:outlineLvl w:val="0"/>
        <w:rPr>
          <w:rFonts w:ascii="Times New Roman" w:eastAsia="Times New Roman" w:hAnsi="Times New Roman" w:cs="Times New Roman"/>
          <w:b/>
          <w:bCs/>
          <w:color w:val="222222"/>
          <w:kern w:val="36"/>
          <w:sz w:val="24"/>
          <w:szCs w:val="24"/>
          <w:lang w:bidi="bn-IN"/>
        </w:rPr>
      </w:pPr>
      <w:r>
        <w:rPr>
          <w:rFonts w:ascii="Times New Roman" w:eastAsia="Times New Roman" w:hAnsi="Times New Roman" w:cs="Times New Roman"/>
          <w:b/>
          <w:bCs/>
          <w:color w:val="222222"/>
          <w:kern w:val="36"/>
          <w:sz w:val="24"/>
          <w:szCs w:val="24"/>
          <w:lang w:bidi="bn-IN"/>
        </w:rPr>
        <w:t> </w:t>
      </w:r>
    </w:p>
    <w:p w:rsidR="00FA2697" w:rsidRDefault="00FA2697" w:rsidP="00FA2697">
      <w:pPr>
        <w:spacing w:after="0" w:line="240" w:lineRule="auto"/>
        <w:jc w:val="both"/>
        <w:rPr>
          <w:rFonts w:eastAsiaTheme="minorHAnsi"/>
          <w:sz w:val="26"/>
          <w:szCs w:val="26"/>
        </w:rPr>
      </w:pPr>
    </w:p>
    <w:p w:rsidR="00FA2697" w:rsidRDefault="00FA2697" w:rsidP="00FA2697">
      <w:pPr>
        <w:spacing w:after="0" w:line="240" w:lineRule="auto"/>
      </w:pPr>
    </w:p>
    <w:p w:rsidR="00373B05" w:rsidRPr="00FA2697" w:rsidRDefault="00FA2697" w:rsidP="00FA2697">
      <w:pPr>
        <w:rPr>
          <w:rFonts w:ascii="Nikosh" w:hAnsi="Nikosh" w:cs="Nikosh"/>
          <w:b/>
          <w:sz w:val="24"/>
          <w:cs/>
        </w:rPr>
      </w:pPr>
      <w:r>
        <w:rPr>
          <w:rFonts w:ascii="Nikosh" w:hAnsi="Nikosh" w:cs="Nikosh"/>
          <w:b/>
          <w:sz w:val="24"/>
        </w:rPr>
        <w:t xml:space="preserve"> </w:t>
      </w:r>
    </w:p>
    <w:sectPr w:rsidR="00373B05" w:rsidRPr="00FA269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89" w:rsidRDefault="00627F89" w:rsidP="00FA7A77">
      <w:pPr>
        <w:spacing w:after="0" w:line="240" w:lineRule="auto"/>
      </w:pPr>
      <w:r>
        <w:separator/>
      </w:r>
    </w:p>
  </w:endnote>
  <w:endnote w:type="continuationSeparator" w:id="1">
    <w:p w:rsidR="00627F89" w:rsidRDefault="00627F8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89" w:rsidRDefault="00627F89" w:rsidP="00FA7A77">
      <w:pPr>
        <w:spacing w:after="0" w:line="240" w:lineRule="auto"/>
      </w:pPr>
      <w:r>
        <w:separator/>
      </w:r>
    </w:p>
  </w:footnote>
  <w:footnote w:type="continuationSeparator" w:id="1">
    <w:p w:rsidR="00627F89" w:rsidRDefault="00627F8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97E"/>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27F89"/>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152"/>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2019-05-05T04:06:00Z</cp:lastPrinted>
  <dcterms:created xsi:type="dcterms:W3CDTF">2020-01-01T09:56:00Z</dcterms:created>
  <dcterms:modified xsi:type="dcterms:W3CDTF">2020-01-01T09:56:00Z</dcterms:modified>
</cp:coreProperties>
</file>